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96" w:rsidRPr="00A423DB" w:rsidRDefault="00BA1896" w:rsidP="00BA1896">
      <w:pPr>
        <w:shd w:val="clear" w:color="auto" w:fill="FFFFFF"/>
        <w:bidi/>
        <w:spacing w:line="240" w:lineRule="auto"/>
        <w:jc w:val="center"/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</w:pPr>
      <w:r w:rsidRPr="00A423DB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پژوهشکده هنرهای سنتی اسلامی</w:t>
      </w:r>
    </w:p>
    <w:p w:rsidR="00BA1896" w:rsidRPr="00A423DB" w:rsidRDefault="00384C54" w:rsidP="00BA1896">
      <w:pPr>
        <w:shd w:val="clear" w:color="auto" w:fill="FFFFFF"/>
        <w:bidi/>
        <w:spacing w:line="240" w:lineRule="auto"/>
        <w:jc w:val="center"/>
        <w:rPr>
          <w:rFonts w:ascii="Times New Roman" w:eastAsia="Times New Roman" w:hAnsi="Times New Roman" w:cs="B Nazanin"/>
          <w:color w:val="000000"/>
          <w:sz w:val="40"/>
          <w:szCs w:val="40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/>
          <w:sz w:val="40"/>
          <w:szCs w:val="40"/>
          <w:rtl/>
          <w:lang w:bidi="fa-IR"/>
        </w:rPr>
        <w:t>فراخوان</w:t>
      </w:r>
      <w:bookmarkStart w:id="0" w:name="_GoBack"/>
      <w:bookmarkEnd w:id="0"/>
      <w:r w:rsidR="00BA1896" w:rsidRPr="00A423DB">
        <w:rPr>
          <w:rFonts w:ascii="Times New Roman" w:eastAsia="Times New Roman" w:hAnsi="Times New Roman" w:cs="B Nazanin" w:hint="cs"/>
          <w:color w:val="000000"/>
          <w:sz w:val="40"/>
          <w:szCs w:val="40"/>
          <w:rtl/>
          <w:lang w:bidi="fa-IR"/>
        </w:rPr>
        <w:t xml:space="preserve"> اولویت‌های پژوهشی در سال 1391</w:t>
      </w:r>
    </w:p>
    <w:p w:rsidR="006F7997" w:rsidRPr="00A423DB" w:rsidRDefault="00BA1896" w:rsidP="00BA1896">
      <w:p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  <w:lang w:bidi="fa-IR"/>
        </w:rPr>
      </w:pPr>
      <w:r w:rsidRPr="00A423DB"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  <w:lang w:bidi="fa-IR"/>
        </w:rPr>
        <w:t>معمارنت-</w:t>
      </w:r>
      <w:r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 xml:space="preserve"> </w:t>
      </w:r>
      <w:r w:rsidR="00B61F3A"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پژوهشکده هنرهای سنتی- اسلامی پژوهشگاه فرهنگ، هنر و ارتباطات، اولویت‌های پژوهشی خود را در سال 1391 اعلام کرد.</w:t>
      </w:r>
    </w:p>
    <w:p w:rsidR="00B61F3A" w:rsidRPr="00A423DB" w:rsidRDefault="00B61F3A" w:rsidP="00B61F3A">
      <w:p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  <w:lang w:bidi="fa-IR"/>
        </w:rPr>
      </w:pPr>
      <w:r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این موضوع‌ها که در سه گروه معماری اسلامی؛ کتابت و نگارگری؛ سنت‌ها و مفاخر فرهنگی و هنری ایر</w:t>
      </w:r>
      <w:r w:rsidR="00A423DB"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ان طبقه بندی می‌شوند</w:t>
      </w:r>
      <w:r w:rsidR="002347A7">
        <w:rPr>
          <w:rFonts w:ascii="Times New Roman" w:eastAsia="Times New Roman" w:hAnsi="Times New Roman" w:cs="B Nazanin"/>
          <w:color w:val="000000"/>
          <w:sz w:val="32"/>
          <w:szCs w:val="32"/>
          <w:lang w:bidi="fa-IR"/>
        </w:rPr>
        <w:t xml:space="preserve"> </w:t>
      </w:r>
      <w:r w:rsidR="002347A7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 xml:space="preserve"> بصورت تفضیلی در جداول جداگانه شرح داده شده است.</w:t>
      </w:r>
    </w:p>
    <w:p w:rsidR="00B61F3A" w:rsidRPr="00A423DB" w:rsidRDefault="00B61F3A" w:rsidP="00B61F3A">
      <w:p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color w:val="000000"/>
          <w:sz w:val="32"/>
          <w:szCs w:val="32"/>
          <w:lang w:bidi="fa-IR"/>
        </w:rPr>
      </w:pPr>
      <w:r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متقاضیان</w:t>
      </w:r>
      <w:r w:rsidR="00BA1896"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 xml:space="preserve"> به همکاری در طرح‌های پژوهشی می‌</w:t>
      </w:r>
      <w:r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بایست با کارشناس مربو</w:t>
      </w:r>
      <w:r w:rsidR="00BA1896"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ط به هر گروه از طریق شماره تلفن</w:t>
      </w:r>
      <w:r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 xml:space="preserve"> 2357733</w:t>
      </w:r>
      <w:r w:rsidR="00BA1896" w:rsidRPr="00A423DB">
        <w:rPr>
          <w:rFonts w:ascii="Times New Roman" w:eastAsia="Times New Roman" w:hAnsi="Times New Roman" w:cs="B Nazanin" w:hint="cs"/>
          <w:color w:val="000000"/>
          <w:sz w:val="32"/>
          <w:szCs w:val="32"/>
          <w:rtl/>
          <w:lang w:bidi="fa-IR"/>
        </w:rPr>
        <w:t>-0311  تماس بگیرند.</w:t>
      </w:r>
    </w:p>
    <w:p w:rsidR="00A423DB" w:rsidRPr="00A423DB" w:rsidRDefault="00A423DB" w:rsidP="00A423DB">
      <w:pPr>
        <w:spacing w:line="240" w:lineRule="auto"/>
        <w:jc w:val="center"/>
        <w:rPr>
          <w:rFonts w:ascii="IranNastaliq" w:eastAsia="Times New Roman" w:hAnsi="IranNastaliq" w:cs="B Nazanin"/>
          <w:b/>
          <w:bCs/>
          <w:noProof/>
          <w:sz w:val="44"/>
          <w:szCs w:val="44"/>
        </w:rPr>
      </w:pPr>
      <w:r w:rsidRPr="00A423DB">
        <w:rPr>
          <w:rFonts w:cs="B Nazanin"/>
          <w:noProof/>
        </w:rPr>
        <w:drawing>
          <wp:anchor distT="0" distB="0" distL="114300" distR="114300" simplePos="0" relativeHeight="251659264" behindDoc="0" locked="0" layoutInCell="1" allowOverlap="1" wp14:anchorId="123BBB8D" wp14:editId="1896C9FF">
            <wp:simplePos x="0" y="0"/>
            <wp:positionH relativeFrom="column">
              <wp:posOffset>7886700</wp:posOffset>
            </wp:positionH>
            <wp:positionV relativeFrom="paragraph">
              <wp:posOffset>-50800</wp:posOffset>
            </wp:positionV>
            <wp:extent cx="641350" cy="615315"/>
            <wp:effectExtent l="0" t="0" r="6350" b="0"/>
            <wp:wrapNone/>
            <wp:docPr id="1" name="Picture 1" descr="Description: arme pajoh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rme pajoheshg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</w:rPr>
        <w:t>اولویت</w:t>
      </w: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</w:rPr>
        <w:softHyphen/>
        <w:t>های پژوهشی  گروه  سنت</w:t>
      </w: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</w:rPr>
        <w:softHyphen/>
        <w:t>ها و مفاخر فرهنگی و هنری ایران</w:t>
      </w:r>
    </w:p>
    <w:tbl>
      <w:tblPr>
        <w:tblStyle w:val="TableGrid"/>
        <w:tblpPr w:leftFromText="180" w:rightFromText="180" w:vertAnchor="text" w:horzAnchor="margin" w:tblpXSpec="center" w:tblpY="436"/>
        <w:tblW w:w="12150" w:type="dxa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5436"/>
        <w:gridCol w:w="936"/>
        <w:gridCol w:w="1620"/>
        <w:gridCol w:w="810"/>
      </w:tblGrid>
      <w:tr w:rsidR="00A423DB" w:rsidRPr="00A423DB" w:rsidTr="00A423DB">
        <w:trPr>
          <w:cantSplit/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قالب اجرا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 اجرا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پژوهش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 و اولویت پژوهشی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423DB" w:rsidRPr="00A423DB" w:rsidTr="00A423DB">
        <w:trPr>
          <w:trHeight w:val="77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راهکارهای بهره‌گیری از فرهنگ پوشاک عشایر ایران در طراحی مدهای جدید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72" w:hanging="72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سنت‌ها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کار آفرینی فرهنگی و توسعه اقتصاد هنرهای سنتی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72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هنرهای سنتی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تبیین بایسته‌ها و الگوهای اخلاقی در حوزه‌ی هنرهای سنتی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ind w:left="360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جایگاه و اهمیت هنرهای سنتی در الگوی اسلامی- ایرانی پیشرفت</w:t>
            </w:r>
            <w:r w:rsidRPr="00A423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Pr="00A423DB">
              <w:rPr>
                <w:rFonts w:cs="B Nazanin" w:hint="cs"/>
                <w:b/>
                <w:bCs/>
                <w:rtl/>
                <w:lang w:bidi="fa-IR"/>
              </w:rPr>
              <w:t>در حوزه فرهنگ و هنر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color w:val="000000" w:themeColor="text1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بازشناسی ارزش‌های هویتی منعکس شده در آثار مفاخر قلمزنی  معاصر اصفهان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72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مفاخر هنری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بازشناسی ارزش‌های فرهنگی و هنری مفاخر هنر منبت معاصر ایران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 w:hanging="198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خاندان تجویدی و  جایگاه آنان در نگارگری معاصر ایران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162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بررسی خدمات هنری استاد محمود فرشچیان در حوزه‌ی نشر مفاهیم اسلامی منعکس شده در آثار هنری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288" w:hanging="288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مفاخر هنری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B" w:rsidRPr="00A423DB" w:rsidRDefault="00A423DB">
            <w:pPr>
              <w:jc w:val="center"/>
              <w:rPr>
                <w:rFonts w:cs="B Nazanin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مجموعه مقالات</w:t>
            </w:r>
          </w:p>
          <w:p w:rsidR="00A423DB" w:rsidRPr="00A423DB" w:rsidRDefault="00A423DB">
            <w:pPr>
              <w:jc w:val="center"/>
              <w:rPr>
                <w:rFonts w:cs="B Nazan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مجموعه مقالات بازشناسی ارزش‌های فرهنگی مفاخر نگارگری معاصر اصفهان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ind w:left="360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بررسی زندگی، آثار و نقش محتشم کاشانی در حفظ و صیانت از فرهنگ عاشورایی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ind w:left="72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مفاخر فرهنگی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</w:tbl>
    <w:p w:rsidR="00A423DB" w:rsidRPr="00A423DB" w:rsidRDefault="00A423DB" w:rsidP="00A423DB">
      <w:pPr>
        <w:bidi/>
        <w:jc w:val="center"/>
        <w:rPr>
          <w:rFonts w:ascii="IranNastaliq" w:eastAsia="Times New Roman" w:hAnsi="IranNastaliq" w:cs="B Nazanin"/>
          <w:b/>
          <w:bCs/>
          <w:noProof/>
          <w:sz w:val="44"/>
          <w:szCs w:val="44"/>
          <w:rtl/>
          <w:lang w:bidi="fa-IR"/>
        </w:rPr>
      </w:pP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</w:rPr>
        <w:t>اولویت</w:t>
      </w: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</w:rPr>
        <w:softHyphen/>
        <w:t>های پژوهشی  گروه  کتابت و نگارگری</w:t>
      </w:r>
    </w:p>
    <w:tbl>
      <w:tblPr>
        <w:tblStyle w:val="TableGrid"/>
        <w:tblpPr w:leftFromText="180" w:rightFromText="180" w:vertAnchor="text" w:horzAnchor="margin" w:tblpXSpec="center" w:tblpY="99"/>
        <w:tblW w:w="13290" w:type="dxa"/>
        <w:tblLayout w:type="fixed"/>
        <w:tblLook w:val="04A0" w:firstRow="1" w:lastRow="0" w:firstColumn="1" w:lastColumn="0" w:noHBand="0" w:noVBand="1"/>
      </w:tblPr>
      <w:tblGrid>
        <w:gridCol w:w="1712"/>
        <w:gridCol w:w="810"/>
        <w:gridCol w:w="7545"/>
        <w:gridCol w:w="648"/>
        <w:gridCol w:w="2071"/>
        <w:gridCol w:w="504"/>
      </w:tblGrid>
      <w:tr w:rsidR="00A423DB" w:rsidRPr="00A423DB" w:rsidTr="00A423DB">
        <w:trPr>
          <w:cantSplit/>
          <w:trHeight w:val="7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قالب اجرا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اولویت اجرا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پژوهش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و اولویت پژوهشی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A423DB" w:rsidRPr="00A423DB" w:rsidTr="00A423DB">
        <w:trPr>
          <w:trHeight w:val="63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گزارش فرهنگی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راهکارهای احیای بوم سازی سنتی در هنر نگارگری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نگارگری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highlight w:val="yellow"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color w:val="FF0000"/>
                <w:highlight w:val="yellow"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مطالعه نقش مایه های اسلیمی و ختایی بکار رفته در هنرهای سنتی ایران جهت ارائه الگوهای دیجیتالی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highlight w:val="yellow"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تذهیب و گل ومرغ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69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بررسی جایگاه هنرگل و مرغ سازی در هنر نگارگری ایران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تحلیل و بررسی نقش و جایگاه هنر تذهیب در کتاب آرایی قرآن در مکاتب هنر نگارگری دوره معاصر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69"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ارزش های زیبا شنا</w:t>
            </w:r>
            <w:r w:rsidRPr="00A423DB"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Pr="00A423DB">
              <w:rPr>
                <w:rFonts w:cs="B Nazanin" w:hint="cs"/>
                <w:b/>
                <w:bCs/>
                <w:rtl/>
              </w:rPr>
              <w:t>ی خوشنویسی جهان اسلام</w:t>
            </w:r>
            <w:r w:rsidRPr="00A423DB">
              <w:rPr>
                <w:rFonts w:cs="B Nazanin" w:hint="cs"/>
                <w:b/>
                <w:bCs/>
                <w:rtl/>
                <w:lang w:bidi="fa-IR"/>
              </w:rPr>
              <w:t xml:space="preserve"> و راهکارهای بهره گیری از آن در انتقال مفاهیم اسلامی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کتابت و خوشنویسی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69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تحلیل موضوعی کتیبه های مساجد عصرصفوی اصفهان و ضرورت استفاده آن در ابنیه مذهبی معاصر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ind w:left="-105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گزارش فرهنگی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راهکارهای ترویج و بهره گیری از خطوط اسلامی ایران در هنر دوره معاصر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ind w:left="-195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گزارش فرهنگی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</w:rPr>
              <w:t>تحلیل آثار نقاشی دوسالانه نقاشی سال1390 (بخش هرات) و میزان تاثیرپذیری این آثار از نگارگری مکتب هرات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کتابت و نگارگری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مجموعه مقالات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A423DB">
              <w:rPr>
                <w:rFonts w:cs="B Nazanin" w:hint="cs"/>
                <w:b/>
                <w:bCs/>
                <w:color w:val="000000" w:themeColor="text1"/>
                <w:rtl/>
              </w:rPr>
              <w:t>مجموعه مقالات آسیب شناسی نگارگری معاصر ایران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proofErr w:type="spellStart"/>
            <w:r w:rsidRPr="00A423DB">
              <w:rPr>
                <w:rFonts w:cs="B Nazanin"/>
                <w:b/>
                <w:bCs/>
              </w:rPr>
              <w:t>Mahiv,Banu</w:t>
            </w:r>
            <w:proofErr w:type="spellEnd"/>
            <w:r w:rsidRPr="00A423DB">
              <w:rPr>
                <w:rFonts w:cs="B Nazanin"/>
                <w:b/>
                <w:bCs/>
              </w:rPr>
              <w:t>.(</w:t>
            </w:r>
            <w:proofErr w:type="spellStart"/>
            <w:r w:rsidRPr="00A423DB">
              <w:rPr>
                <w:rFonts w:cs="B Nazanin"/>
                <w:b/>
                <w:bCs/>
              </w:rPr>
              <w:t>OsmaniMinyaturSanati</w:t>
            </w:r>
            <w:proofErr w:type="spellEnd"/>
            <w:r w:rsidRPr="00A423DB">
              <w:rPr>
                <w:rFonts w:cs="B Nazanin"/>
                <w:b/>
                <w:bCs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کتابت و نگارگری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423DB" w:rsidRPr="00A423DB" w:rsidTr="00A423DB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/>
                <w:b/>
                <w:bCs/>
              </w:rPr>
              <w:t xml:space="preserve">Persian Painting from the Mongols to the </w:t>
            </w:r>
            <w:proofErr w:type="spellStart"/>
            <w:r w:rsidRPr="00A423DB">
              <w:rPr>
                <w:rFonts w:cs="B Nazanin"/>
                <w:b/>
                <w:bCs/>
              </w:rPr>
              <w:t>Qajar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A423DB" w:rsidRPr="00A423DB" w:rsidRDefault="00A423DB" w:rsidP="00A423DB">
      <w:pPr>
        <w:bidi/>
        <w:jc w:val="center"/>
        <w:rPr>
          <w:rFonts w:ascii="IranNastaliq" w:eastAsia="Times New Roman" w:hAnsi="IranNastaliq" w:cs="B Nazanin"/>
          <w:b/>
          <w:bCs/>
          <w:noProof/>
          <w:sz w:val="44"/>
          <w:szCs w:val="44"/>
          <w:rtl/>
          <w:lang w:bidi="fa-IR"/>
        </w:rPr>
      </w:pP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  <w:lang w:bidi="fa-IR"/>
        </w:rPr>
        <w:t>برنامه پژوهشی گروه معماری اسلامی</w:t>
      </w:r>
    </w:p>
    <w:tbl>
      <w:tblPr>
        <w:tblStyle w:val="TableGrid"/>
        <w:tblpPr w:leftFromText="180" w:rightFromText="180" w:vertAnchor="text" w:horzAnchor="margin" w:tblpXSpec="center" w:tblpY="99"/>
        <w:tblW w:w="12150" w:type="dxa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5760"/>
        <w:gridCol w:w="720"/>
        <w:gridCol w:w="1512"/>
        <w:gridCol w:w="810"/>
      </w:tblGrid>
      <w:tr w:rsidR="00A423DB" w:rsidRPr="00A423DB" w:rsidTr="00A423DB">
        <w:trPr>
          <w:cantSplit/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قالب اجرا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 اجرا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پژوهش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 و اولویت پژوهشی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423DB" w:rsidRPr="00A423DB" w:rsidTr="00A423DB">
        <w:trPr>
          <w:trHeight w:val="63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مفهوم قناعت و صرفه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جویی در خانه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های تاریخی و ارائه راهکار به منظور بهره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گیری از این مفهوم در مسکن امروز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B" w:rsidRPr="00A423DB" w:rsidRDefault="00A423DB">
            <w:pPr>
              <w:rPr>
                <w:rFonts w:ascii="IranNastaliq" w:eastAsia="Calibri" w:hAnsi="IranNastaliq" w:cs="B Nazanin"/>
                <w:b/>
                <w:bCs/>
                <w:sz w:val="28"/>
                <w:szCs w:val="28"/>
                <w:lang w:bidi="fa-IR"/>
              </w:rPr>
            </w:pP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ascii="IranNastaliq" w:eastAsia="Calibri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معماری اسلامی </w:t>
            </w:r>
            <w:r w:rsidRPr="00A423DB">
              <w:rPr>
                <w:rFonts w:ascii="IranNastaliq" w:eastAsia="Calibri" w:hAnsi="IranNastaliq" w:cs="B Nazanin" w:hint="cs"/>
                <w:b/>
                <w:bCs/>
                <w:sz w:val="28"/>
                <w:szCs w:val="28"/>
                <w:lang w:bidi="fa-IR"/>
              </w:rPr>
              <w:t xml:space="preserve">- </w:t>
            </w:r>
            <w:r w:rsidRPr="00A423DB">
              <w:rPr>
                <w:rFonts w:ascii="IranNastaliq" w:eastAsia="Calibri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ایرانی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علل فرهنگی </w:t>
            </w:r>
            <w:r w:rsidRPr="00A423DB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_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تاریخی تداوم یا گسست در معماری و شهرسازی اسلامی ایران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هندسی ابعاد در مساجد تاریخی و ارائه راهکار برای طراحی تناسبات هندسی در مساجد معاصر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 xml:space="preserve">پژوهش علمی و تالیف کتاب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مستندنگاری تأثیر مفاهیم اسلامی در آثار معماری اسلامی ایران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423DB">
              <w:rPr>
                <w:rFonts w:ascii="IranNastaliq" w:eastAsia="Calibri" w:hAnsi="IranNastaliq" w:cs="B Nazanin" w:hint="cs"/>
                <w:b/>
                <w:bCs/>
                <w:rtl/>
                <w:lang w:bidi="fa-IR"/>
              </w:rPr>
              <w:t>حفظ و احیای ارزش</w:t>
            </w:r>
            <w:r w:rsidRPr="00A423DB">
              <w:rPr>
                <w:rFonts w:ascii="IranNastaliq" w:eastAsia="Calibri" w:hAnsi="IranNastaliq" w:cs="B Nazanin" w:hint="cs"/>
                <w:b/>
                <w:bCs/>
                <w:rtl/>
                <w:lang w:bidi="fa-IR"/>
              </w:rPr>
              <w:softHyphen/>
              <w:t xml:space="preserve">های فرهنگی در بافت تاریخی و بناهای اسلامی ایران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ارائه الگو برای ساخت شهرک سینمایی براساس مشخصه</w:t>
            </w: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softHyphen/>
              <w:t>های معماری و شهرسازی هر دوره تاریخی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IranNastaliq" w:eastAsia="Calibri" w:hAnsi="IranNastaliq" w:cs="B Nazanin" w:hint="cs"/>
                <w:b/>
                <w:bCs/>
                <w:rtl/>
                <w:lang w:bidi="fa-IR"/>
              </w:rPr>
              <w:t>معماری و سینما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ارائه الگو برای طراحی حسینیه</w:t>
            </w: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softHyphen/>
              <w:t>ها و تکایا براساس فرهنگ عاشورا در شهرهای مختلف ایران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معماری و فرهنگ عاشورا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زیبایی</w:t>
            </w: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softHyphen/>
              <w:t>شناسی منظر فرهنگی در معماری اسلامی ایران و ارائه راهکار برای دوران معاصر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معماری منظر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spacing w:line="192" w:lineRule="auto"/>
              <w:ind w:left="36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راهکارهای افزایش شناخت نسل نو از معماری اسلامی ایران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معماری و آموزش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</w:tbl>
    <w:p w:rsidR="00A423DB" w:rsidRPr="00A423DB" w:rsidRDefault="00A423DB" w:rsidP="00A423DB">
      <w:pPr>
        <w:bidi/>
        <w:jc w:val="center"/>
        <w:rPr>
          <w:rFonts w:ascii="IranNastaliq" w:eastAsia="Times New Roman" w:hAnsi="IranNastaliq" w:cs="B Nazanin"/>
          <w:b/>
          <w:bCs/>
          <w:noProof/>
          <w:sz w:val="44"/>
          <w:szCs w:val="44"/>
          <w:rtl/>
          <w:lang w:bidi="fa-IR"/>
        </w:rPr>
      </w:pP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  <w:lang w:bidi="fa-IR"/>
        </w:rPr>
        <w:t>اولویت</w:t>
      </w:r>
      <w:r w:rsidRPr="00A423DB">
        <w:rPr>
          <w:rFonts w:ascii="IranNastaliq" w:eastAsia="Times New Roman" w:hAnsi="IranNastaliq" w:cs="B Nazanin" w:hint="cs"/>
          <w:b/>
          <w:bCs/>
          <w:noProof/>
          <w:sz w:val="44"/>
          <w:szCs w:val="44"/>
          <w:rtl/>
          <w:lang w:bidi="fa-IR"/>
        </w:rPr>
        <w:softHyphen/>
        <w:t>های پژوهشی گروه معماری اسلامی</w:t>
      </w:r>
    </w:p>
    <w:tbl>
      <w:tblPr>
        <w:tblStyle w:val="TableGrid"/>
        <w:tblpPr w:leftFromText="180" w:rightFromText="180" w:vertAnchor="text" w:horzAnchor="margin" w:tblpXSpec="center" w:tblpY="99"/>
        <w:tblW w:w="12150" w:type="dxa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5760"/>
        <w:gridCol w:w="720"/>
        <w:gridCol w:w="1512"/>
        <w:gridCol w:w="810"/>
      </w:tblGrid>
      <w:tr w:rsidR="00A423DB" w:rsidRPr="00A423DB" w:rsidTr="00A423DB">
        <w:trPr>
          <w:cantSplit/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قالب اجرا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 اجرا</w:t>
            </w:r>
          </w:p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پژوهش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 و اولویت پژوهشی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423DB" w:rsidRPr="00A423DB" w:rsidRDefault="00A423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423DB" w:rsidRPr="00A423DB" w:rsidTr="00A423DB">
        <w:trPr>
          <w:trHeight w:val="63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طرح پژوهشی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spacing w:line="192" w:lineRule="auto"/>
              <w:ind w:left="36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مستندسازی منابع شفاهی معماری سنتی ایران(استادکاران معماری)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مستندسازی منابع شفاهی معماری سنتی ایران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423DB" w:rsidRPr="00A423DB" w:rsidTr="00A423DB">
        <w:trPr>
          <w:trHeight w:val="63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مجموعه مقالات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spacing w:line="192" w:lineRule="auto"/>
              <w:ind w:left="36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مجموعه مقالات طبقه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بندی، شناخت و احیای تزیینات معماری اسلامی ایران و ارائه راهکار برای دوره معاصر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تزئینات معماری اسلامی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spacing w:line="192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ریخت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شناسی طاق</w:t>
            </w:r>
            <w:r w:rsidRPr="00A423D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 در مساجد ایران به منظور ارائه راهکار در بناهای مذهبی معاصر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مستندسازی معماری اسلامی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پژوهش علمی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تطبیق معماری ایران با هنر و ادبیات پس از اسلام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معماری و سایر هنرها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تحلیل تصویر ذهنی مردم از شهر اسلامی و ارائه راهکار برای خلق شهر اسلامی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فرهنگی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ارائه راهکار برای ارتقاء امنیت در فضای شهری با توجه به اصول شهرسازی سنتی- اسلامی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شهرسازی اسلامی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 xml:space="preserve">The city in the Islamic world: </w:t>
            </w:r>
            <w:proofErr w:type="spellStart"/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>salma</w:t>
            </w:r>
            <w:proofErr w:type="spellEnd"/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k. </w:t>
            </w:r>
            <w:proofErr w:type="spellStart"/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>jayyusi</w:t>
            </w:r>
            <w:proofErr w:type="spellEnd"/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 xml:space="preserve">, </w:t>
            </w:r>
            <w:proofErr w:type="spellStart"/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>etal</w:t>
            </w:r>
            <w:proofErr w:type="spellEnd"/>
            <w:r w:rsidRPr="00A423DB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(2008)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A423DB" w:rsidRPr="00A423DB" w:rsidTr="00A423DB">
        <w:trPr>
          <w:trHeight w:val="5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2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ascii="Times New Roman" w:eastAsia="Calibri" w:hAnsi="Times New Roman" w:cs="B Nazanin"/>
                <w:b/>
                <w:bCs/>
                <w:lang w:bidi="fa-IR"/>
              </w:rPr>
              <w:t xml:space="preserve">Islamic gardens &amp; landscapes: d. Fairchild </w:t>
            </w:r>
            <w:proofErr w:type="spellStart"/>
            <w:r w:rsidRPr="00A423DB">
              <w:rPr>
                <w:rFonts w:ascii="Times New Roman" w:eastAsia="Calibri" w:hAnsi="Times New Roman" w:cs="B Nazanin"/>
                <w:b/>
                <w:bCs/>
                <w:lang w:bidi="fa-IR"/>
              </w:rPr>
              <w:t>ruggles</w:t>
            </w:r>
            <w:proofErr w:type="spellEnd"/>
            <w:r w:rsidRPr="00A423DB">
              <w:rPr>
                <w:rFonts w:ascii="Times New Roman" w:eastAsia="Calibri" w:hAnsi="Times New Roman" w:cs="B Nazanin"/>
                <w:b/>
                <w:bCs/>
                <w:lang w:bidi="fa-IR"/>
              </w:rPr>
              <w:t xml:space="preserve"> . university of </w:t>
            </w:r>
            <w:proofErr w:type="spellStart"/>
            <w:r w:rsidRPr="00A423DB">
              <w:rPr>
                <w:rFonts w:ascii="Times New Roman" w:eastAsia="Calibri" w:hAnsi="Times New Roman" w:cs="B Nazanin"/>
                <w:b/>
                <w:bCs/>
                <w:lang w:bidi="fa-IR"/>
              </w:rPr>
              <w:t>pensylvania</w:t>
            </w:r>
            <w:proofErr w:type="spellEnd"/>
            <w:r w:rsidRPr="00A423DB">
              <w:rPr>
                <w:rFonts w:ascii="Times New Roman" w:eastAsia="Calibri" w:hAnsi="Times New Roman" w:cs="B Nazanin"/>
                <w:b/>
                <w:bCs/>
                <w:lang w:bidi="fa-IR"/>
              </w:rPr>
              <w:t xml:space="preserve"> press (2008)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423DB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B" w:rsidRPr="00A423DB" w:rsidRDefault="00A423DB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A423DB" w:rsidRPr="00A423DB" w:rsidRDefault="00A423DB" w:rsidP="00A423DB">
      <w:pPr>
        <w:bidi/>
        <w:rPr>
          <w:rFonts w:ascii="IranNastaliq" w:eastAsia="Times New Roman" w:hAnsi="IranNastaliq" w:cs="B Nazanin"/>
          <w:b/>
          <w:bCs/>
          <w:noProof/>
          <w:sz w:val="44"/>
          <w:szCs w:val="44"/>
          <w:rtl/>
          <w:lang w:bidi="fa-IR"/>
        </w:rPr>
      </w:pPr>
    </w:p>
    <w:p w:rsidR="00A423DB" w:rsidRPr="00A423DB" w:rsidRDefault="00A423DB" w:rsidP="00A423DB">
      <w:pPr>
        <w:shd w:val="clear" w:color="auto" w:fill="FFFFFF"/>
        <w:bidi/>
        <w:spacing w:line="24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sectPr w:rsidR="00A423DB" w:rsidRPr="00A4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CB" w:rsidRDefault="009931CB" w:rsidP="00BA1896">
      <w:pPr>
        <w:spacing w:after="0" w:line="240" w:lineRule="auto"/>
      </w:pPr>
      <w:r>
        <w:separator/>
      </w:r>
    </w:p>
  </w:endnote>
  <w:endnote w:type="continuationSeparator" w:id="0">
    <w:p w:rsidR="009931CB" w:rsidRDefault="009931CB" w:rsidP="00B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CB" w:rsidRDefault="009931CB" w:rsidP="00BA1896">
      <w:pPr>
        <w:spacing w:after="0" w:line="240" w:lineRule="auto"/>
      </w:pPr>
      <w:r>
        <w:separator/>
      </w:r>
    </w:p>
  </w:footnote>
  <w:footnote w:type="continuationSeparator" w:id="0">
    <w:p w:rsidR="009931CB" w:rsidRDefault="009931CB" w:rsidP="00BA1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3A"/>
    <w:rsid w:val="00177D12"/>
    <w:rsid w:val="001F7595"/>
    <w:rsid w:val="002347A7"/>
    <w:rsid w:val="00304AB4"/>
    <w:rsid w:val="00384C54"/>
    <w:rsid w:val="003E0044"/>
    <w:rsid w:val="005211CA"/>
    <w:rsid w:val="006F7997"/>
    <w:rsid w:val="00712A3D"/>
    <w:rsid w:val="009931CB"/>
    <w:rsid w:val="00A423DB"/>
    <w:rsid w:val="00B61F3A"/>
    <w:rsid w:val="00B71AFF"/>
    <w:rsid w:val="00BA1896"/>
    <w:rsid w:val="00C268A1"/>
    <w:rsid w:val="00C925D1"/>
    <w:rsid w:val="00DA4187"/>
    <w:rsid w:val="00E4529E"/>
    <w:rsid w:val="00F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96"/>
  </w:style>
  <w:style w:type="paragraph" w:styleId="Footer">
    <w:name w:val="footer"/>
    <w:basedOn w:val="Normal"/>
    <w:link w:val="FooterChar"/>
    <w:uiPriority w:val="99"/>
    <w:unhideWhenUsed/>
    <w:rsid w:val="00B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96"/>
  </w:style>
  <w:style w:type="table" w:styleId="TableGrid">
    <w:name w:val="Table Grid"/>
    <w:basedOn w:val="TableNormal"/>
    <w:uiPriority w:val="59"/>
    <w:rsid w:val="00A4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96"/>
  </w:style>
  <w:style w:type="paragraph" w:styleId="Footer">
    <w:name w:val="footer"/>
    <w:basedOn w:val="Normal"/>
    <w:link w:val="FooterChar"/>
    <w:uiPriority w:val="99"/>
    <w:unhideWhenUsed/>
    <w:rsid w:val="00B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96"/>
  </w:style>
  <w:style w:type="table" w:styleId="TableGrid">
    <w:name w:val="Table Grid"/>
    <w:basedOn w:val="TableNormal"/>
    <w:uiPriority w:val="59"/>
    <w:rsid w:val="00A4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</dc:creator>
  <cp:lastModifiedBy>Farshid</cp:lastModifiedBy>
  <cp:revision>4</cp:revision>
  <dcterms:created xsi:type="dcterms:W3CDTF">2012-07-23T07:08:00Z</dcterms:created>
  <dcterms:modified xsi:type="dcterms:W3CDTF">2012-07-24T03:01:00Z</dcterms:modified>
</cp:coreProperties>
</file>